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308B" w14:textId="52B3B43D" w:rsidR="004F1431" w:rsidRPr="007A64F7" w:rsidRDefault="004F1431">
      <w:pPr>
        <w:rPr>
          <w:b/>
          <w:bCs/>
        </w:rPr>
      </w:pPr>
      <w:r w:rsidRPr="003C64B9">
        <w:rPr>
          <w:b/>
          <w:bCs/>
        </w:rPr>
        <w:t>BIBLIOGRAFIA NC PODCAST</w:t>
      </w:r>
    </w:p>
    <w:p w14:paraId="2B86D3FB" w14:textId="77777777" w:rsidR="004F1431" w:rsidRDefault="004F1431" w:rsidP="004F1431">
      <w:pPr>
        <w:pStyle w:val="Bibliografia"/>
        <w:spacing w:line="360" w:lineRule="auto"/>
        <w:ind w:left="2124"/>
        <w:rPr>
          <w:sz w:val="24"/>
          <w:lang w:val="en-GB"/>
        </w:rPr>
      </w:pPr>
      <w:r w:rsidRPr="008D169B">
        <w:rPr>
          <w:sz w:val="24"/>
          <w:lang w:val="en-GB"/>
        </w:rPr>
        <w:t xml:space="preserve">J. </w:t>
      </w:r>
      <w:proofErr w:type="spellStart"/>
      <w:r w:rsidRPr="008D169B">
        <w:rPr>
          <w:sz w:val="24"/>
          <w:lang w:val="en-GB"/>
        </w:rPr>
        <w:t>Cosnes</w:t>
      </w:r>
      <w:proofErr w:type="spellEnd"/>
      <w:r w:rsidRPr="008D169B">
        <w:rPr>
          <w:sz w:val="24"/>
          <w:lang w:val="en-GB"/>
        </w:rPr>
        <w:t xml:space="preserve">, C. Gower–Rousseau, P. </w:t>
      </w:r>
      <w:proofErr w:type="spellStart"/>
      <w:r w:rsidRPr="008D169B">
        <w:rPr>
          <w:sz w:val="24"/>
          <w:lang w:val="en-GB"/>
        </w:rPr>
        <w:t>Seksik</w:t>
      </w:r>
      <w:proofErr w:type="spellEnd"/>
      <w:r w:rsidRPr="008D169B">
        <w:rPr>
          <w:sz w:val="24"/>
          <w:lang w:val="en-GB"/>
        </w:rPr>
        <w:t xml:space="preserve">, e A. </w:t>
      </w:r>
      <w:proofErr w:type="spellStart"/>
      <w:r w:rsidRPr="008D169B">
        <w:rPr>
          <w:sz w:val="24"/>
          <w:lang w:val="en-GB"/>
        </w:rPr>
        <w:t>Cortot</w:t>
      </w:r>
      <w:proofErr w:type="spellEnd"/>
      <w:r w:rsidRPr="008D169B">
        <w:rPr>
          <w:sz w:val="24"/>
          <w:lang w:val="en-GB"/>
        </w:rPr>
        <w:t xml:space="preserve">, «Epidemiology and Natural History of Inflammatory Bowel Diseases», </w:t>
      </w:r>
      <w:r w:rsidRPr="008D169B">
        <w:rPr>
          <w:i/>
          <w:iCs/>
          <w:sz w:val="24"/>
          <w:lang w:val="en-GB"/>
        </w:rPr>
        <w:t>Gastroenterology</w:t>
      </w:r>
      <w:r w:rsidRPr="008D169B">
        <w:rPr>
          <w:sz w:val="24"/>
          <w:lang w:val="en-GB"/>
        </w:rPr>
        <w:t xml:space="preserve">, vol. 140, n. 6, </w:t>
      </w:r>
      <w:proofErr w:type="spellStart"/>
      <w:r w:rsidRPr="008D169B">
        <w:rPr>
          <w:sz w:val="24"/>
          <w:lang w:val="en-GB"/>
        </w:rPr>
        <w:t>pagg</w:t>
      </w:r>
      <w:proofErr w:type="spellEnd"/>
      <w:r w:rsidRPr="008D169B">
        <w:rPr>
          <w:sz w:val="24"/>
          <w:lang w:val="en-GB"/>
        </w:rPr>
        <w:t xml:space="preserve">. 1785-1794.e4, mag. 2011, </w:t>
      </w:r>
      <w:proofErr w:type="spellStart"/>
      <w:r w:rsidRPr="008D169B">
        <w:rPr>
          <w:sz w:val="24"/>
          <w:lang w:val="en-GB"/>
        </w:rPr>
        <w:t>doi</w:t>
      </w:r>
      <w:proofErr w:type="spellEnd"/>
      <w:r w:rsidRPr="008D169B">
        <w:rPr>
          <w:sz w:val="24"/>
          <w:lang w:val="en-GB"/>
        </w:rPr>
        <w:t>: 10.1053/j.gastro.2011.01.055.</w:t>
      </w:r>
    </w:p>
    <w:p w14:paraId="1A99216B" w14:textId="77777777" w:rsidR="004F1431" w:rsidRDefault="004F1431" w:rsidP="004F1431">
      <w:pPr>
        <w:pStyle w:val="Bibliografia"/>
        <w:spacing w:line="360" w:lineRule="auto"/>
        <w:ind w:left="2124"/>
        <w:rPr>
          <w:sz w:val="24"/>
          <w:lang w:val="en-GB"/>
        </w:rPr>
      </w:pPr>
    </w:p>
    <w:p w14:paraId="3158484B" w14:textId="77777777" w:rsidR="004F1431" w:rsidRDefault="004F1431" w:rsidP="004F1431">
      <w:pPr>
        <w:pStyle w:val="Bibliografia"/>
        <w:spacing w:line="360" w:lineRule="auto"/>
        <w:ind w:left="2124"/>
        <w:rPr>
          <w:sz w:val="24"/>
          <w:lang w:val="en-GB"/>
        </w:rPr>
      </w:pPr>
      <w:r w:rsidRPr="008D169B">
        <w:rPr>
          <w:sz w:val="24"/>
          <w:lang w:val="en-GB"/>
        </w:rPr>
        <w:t xml:space="preserve">L. R. Ferguson, A. N. Shelling, B. L. Browning, C. Huebner, e I. </w:t>
      </w:r>
      <w:proofErr w:type="spellStart"/>
      <w:r w:rsidRPr="008D169B">
        <w:rPr>
          <w:sz w:val="24"/>
          <w:lang w:val="en-GB"/>
        </w:rPr>
        <w:t>Petermann</w:t>
      </w:r>
      <w:proofErr w:type="spellEnd"/>
      <w:r w:rsidRPr="008D169B">
        <w:rPr>
          <w:sz w:val="24"/>
          <w:lang w:val="en-GB"/>
        </w:rPr>
        <w:t xml:space="preserve">, «Genes, diet and inflammatory bowel disease», </w:t>
      </w:r>
      <w:proofErr w:type="spellStart"/>
      <w:r w:rsidRPr="008D169B">
        <w:rPr>
          <w:i/>
          <w:iCs/>
          <w:sz w:val="24"/>
          <w:lang w:val="en-GB"/>
        </w:rPr>
        <w:t>Mutat</w:t>
      </w:r>
      <w:proofErr w:type="spellEnd"/>
      <w:r w:rsidRPr="008D169B">
        <w:rPr>
          <w:i/>
          <w:iCs/>
          <w:sz w:val="24"/>
          <w:lang w:val="en-GB"/>
        </w:rPr>
        <w:t>. Res. Mol. Mech. Mutagen.</w:t>
      </w:r>
      <w:r w:rsidRPr="008D169B">
        <w:rPr>
          <w:sz w:val="24"/>
          <w:lang w:val="en-GB"/>
        </w:rPr>
        <w:t xml:space="preserve">, vol. 622, n. 1–2, </w:t>
      </w:r>
      <w:proofErr w:type="spellStart"/>
      <w:r w:rsidRPr="008D169B">
        <w:rPr>
          <w:sz w:val="24"/>
          <w:lang w:val="en-GB"/>
        </w:rPr>
        <w:t>pagg</w:t>
      </w:r>
      <w:proofErr w:type="spellEnd"/>
      <w:r w:rsidRPr="008D169B">
        <w:rPr>
          <w:sz w:val="24"/>
          <w:lang w:val="en-GB"/>
        </w:rPr>
        <w:t xml:space="preserve">. 70–83, set. 2007, </w:t>
      </w:r>
      <w:proofErr w:type="spellStart"/>
      <w:r w:rsidRPr="008D169B">
        <w:rPr>
          <w:sz w:val="24"/>
          <w:lang w:val="en-GB"/>
        </w:rPr>
        <w:t>doi</w:t>
      </w:r>
      <w:proofErr w:type="spellEnd"/>
      <w:r w:rsidRPr="008D169B">
        <w:rPr>
          <w:sz w:val="24"/>
          <w:lang w:val="en-GB"/>
        </w:rPr>
        <w:t>: 10.1016/j.mrfmmm.2007.05.011.</w:t>
      </w:r>
    </w:p>
    <w:p w14:paraId="2654A777" w14:textId="77777777" w:rsidR="004F1431" w:rsidRDefault="004F1431" w:rsidP="004F1431">
      <w:pPr>
        <w:pStyle w:val="Bibliografia"/>
        <w:spacing w:line="360" w:lineRule="auto"/>
        <w:ind w:left="2124"/>
        <w:rPr>
          <w:sz w:val="24"/>
          <w:lang w:val="en-GB"/>
        </w:rPr>
      </w:pPr>
    </w:p>
    <w:p w14:paraId="4AC99F5B" w14:textId="1D2746F6" w:rsidR="004F1431" w:rsidRDefault="004F1431" w:rsidP="004F1431">
      <w:pPr>
        <w:pStyle w:val="Bibliografia"/>
        <w:spacing w:line="360" w:lineRule="auto"/>
        <w:ind w:left="2124"/>
        <w:rPr>
          <w:sz w:val="24"/>
          <w:lang w:val="en-GB"/>
        </w:rPr>
      </w:pPr>
      <w:r w:rsidRPr="008D169B">
        <w:rPr>
          <w:sz w:val="24"/>
          <w:lang w:val="en-GB"/>
        </w:rPr>
        <w:t xml:space="preserve">D. </w:t>
      </w:r>
      <w:proofErr w:type="spellStart"/>
      <w:r w:rsidRPr="008D169B">
        <w:rPr>
          <w:sz w:val="24"/>
          <w:lang w:val="en-GB"/>
        </w:rPr>
        <w:t>Piovani</w:t>
      </w:r>
      <w:proofErr w:type="spellEnd"/>
      <w:r w:rsidRPr="008D169B">
        <w:rPr>
          <w:sz w:val="24"/>
          <w:lang w:val="en-GB"/>
        </w:rPr>
        <w:t xml:space="preserve">, S. </w:t>
      </w:r>
      <w:proofErr w:type="spellStart"/>
      <w:r w:rsidRPr="008D169B">
        <w:rPr>
          <w:sz w:val="24"/>
          <w:lang w:val="en-GB"/>
        </w:rPr>
        <w:t>Danese</w:t>
      </w:r>
      <w:proofErr w:type="spellEnd"/>
      <w:r w:rsidRPr="008D169B">
        <w:rPr>
          <w:sz w:val="24"/>
          <w:lang w:val="en-GB"/>
        </w:rPr>
        <w:t xml:space="preserve">, L. </w:t>
      </w:r>
      <w:proofErr w:type="spellStart"/>
      <w:r w:rsidRPr="008D169B">
        <w:rPr>
          <w:sz w:val="24"/>
          <w:lang w:val="en-GB"/>
        </w:rPr>
        <w:t>Peyrin-Biroulet</w:t>
      </w:r>
      <w:proofErr w:type="spellEnd"/>
      <w:r w:rsidRPr="008D169B">
        <w:rPr>
          <w:sz w:val="24"/>
          <w:lang w:val="en-GB"/>
        </w:rPr>
        <w:t xml:space="preserve">, G. K. Nikolopoulos, T. </w:t>
      </w:r>
      <w:proofErr w:type="spellStart"/>
      <w:r w:rsidRPr="008D169B">
        <w:rPr>
          <w:sz w:val="24"/>
          <w:lang w:val="en-GB"/>
        </w:rPr>
        <w:t>Lytras</w:t>
      </w:r>
      <w:proofErr w:type="spellEnd"/>
      <w:r w:rsidRPr="008D169B">
        <w:rPr>
          <w:sz w:val="24"/>
          <w:lang w:val="en-GB"/>
        </w:rPr>
        <w:t xml:space="preserve">, e S. </w:t>
      </w:r>
      <w:proofErr w:type="spellStart"/>
      <w:r w:rsidRPr="008D169B">
        <w:rPr>
          <w:sz w:val="24"/>
          <w:lang w:val="en-GB"/>
        </w:rPr>
        <w:t>Bonovas</w:t>
      </w:r>
      <w:proofErr w:type="spellEnd"/>
      <w:r w:rsidRPr="008D169B">
        <w:rPr>
          <w:sz w:val="24"/>
          <w:lang w:val="en-GB"/>
        </w:rPr>
        <w:t xml:space="preserve">, «Environmental Risk Factors for Inflammatory Bowel Diseases: An Umbrella Review of Meta-analyses», </w:t>
      </w:r>
      <w:r w:rsidRPr="008D169B">
        <w:rPr>
          <w:i/>
          <w:iCs/>
          <w:sz w:val="24"/>
          <w:lang w:val="en-GB"/>
        </w:rPr>
        <w:t>Gastroenterology</w:t>
      </w:r>
      <w:r w:rsidRPr="008D169B">
        <w:rPr>
          <w:sz w:val="24"/>
          <w:lang w:val="en-GB"/>
        </w:rPr>
        <w:t>, vol.</w:t>
      </w:r>
    </w:p>
    <w:p w14:paraId="06DA1C72" w14:textId="7881E30E" w:rsidR="004F1431" w:rsidRDefault="004F1431" w:rsidP="004F1431">
      <w:pPr>
        <w:rPr>
          <w:lang w:val="en-GB"/>
        </w:rPr>
      </w:pPr>
    </w:p>
    <w:p w14:paraId="1D53C97B" w14:textId="77777777" w:rsidR="007A64F7" w:rsidRDefault="004F1431" w:rsidP="007A64F7">
      <w:pPr>
        <w:pStyle w:val="Bibliografia"/>
        <w:spacing w:line="360" w:lineRule="auto"/>
        <w:ind w:left="2124"/>
        <w:rPr>
          <w:sz w:val="24"/>
          <w:lang w:val="en-GB"/>
        </w:rPr>
      </w:pPr>
      <w:r w:rsidRPr="008D169B">
        <w:rPr>
          <w:sz w:val="24"/>
          <w:lang w:val="en-GB"/>
        </w:rPr>
        <w:t xml:space="preserve">H. Khalili, S. S. M. Chan, P. Lochhead, A. N. </w:t>
      </w:r>
      <w:proofErr w:type="spellStart"/>
      <w:r w:rsidRPr="008D169B">
        <w:rPr>
          <w:sz w:val="24"/>
          <w:lang w:val="en-GB"/>
        </w:rPr>
        <w:t>Ananthakrishnan</w:t>
      </w:r>
      <w:proofErr w:type="spellEnd"/>
      <w:r w:rsidRPr="008D169B">
        <w:rPr>
          <w:sz w:val="24"/>
          <w:lang w:val="en-GB"/>
        </w:rPr>
        <w:t xml:space="preserve">, A. R. Hart, e A. T. Chan, «The role of diet in the etiopathogenesis of inflammatory bowel disease», </w:t>
      </w:r>
      <w:r w:rsidRPr="008D169B">
        <w:rPr>
          <w:i/>
          <w:iCs/>
          <w:sz w:val="24"/>
          <w:lang w:val="en-GB"/>
        </w:rPr>
        <w:t>Nat. Rev. Gastroenterol. Hepatol.</w:t>
      </w:r>
      <w:r w:rsidRPr="008D169B">
        <w:rPr>
          <w:sz w:val="24"/>
          <w:lang w:val="en-GB"/>
        </w:rPr>
        <w:t xml:space="preserve">, vol. 15, n. 9, </w:t>
      </w:r>
      <w:proofErr w:type="spellStart"/>
      <w:r w:rsidRPr="008D169B">
        <w:rPr>
          <w:sz w:val="24"/>
          <w:lang w:val="en-GB"/>
        </w:rPr>
        <w:t>pagg</w:t>
      </w:r>
      <w:proofErr w:type="spellEnd"/>
      <w:r w:rsidRPr="008D169B">
        <w:rPr>
          <w:sz w:val="24"/>
          <w:lang w:val="en-GB"/>
        </w:rPr>
        <w:t xml:space="preserve">. 525–535, set. 2018, </w:t>
      </w:r>
      <w:proofErr w:type="spellStart"/>
      <w:r w:rsidRPr="008D169B">
        <w:rPr>
          <w:sz w:val="24"/>
          <w:lang w:val="en-GB"/>
        </w:rPr>
        <w:t>doi</w:t>
      </w:r>
      <w:proofErr w:type="spellEnd"/>
      <w:r w:rsidRPr="008D169B">
        <w:rPr>
          <w:sz w:val="24"/>
          <w:lang w:val="en-GB"/>
        </w:rPr>
        <w:t>: 10.1038/s41575-018-0022-9.</w:t>
      </w:r>
    </w:p>
    <w:p w14:paraId="6D8DC236" w14:textId="77777777" w:rsidR="007A64F7" w:rsidRDefault="007A64F7" w:rsidP="007A64F7">
      <w:pPr>
        <w:pStyle w:val="Bibliografia"/>
        <w:spacing w:line="360" w:lineRule="auto"/>
        <w:ind w:left="2124"/>
        <w:rPr>
          <w:sz w:val="24"/>
          <w:lang w:val="en-GB"/>
        </w:rPr>
      </w:pPr>
    </w:p>
    <w:p w14:paraId="6D2A0900" w14:textId="7B0C7662" w:rsidR="004F1431" w:rsidRDefault="007A64F7" w:rsidP="007A64F7">
      <w:pPr>
        <w:pStyle w:val="Bibliografia"/>
        <w:spacing w:line="360" w:lineRule="auto"/>
        <w:ind w:left="2124"/>
        <w:rPr>
          <w:sz w:val="24"/>
          <w:lang w:val="en-GB"/>
        </w:rPr>
      </w:pPr>
      <w:proofErr w:type="spellStart"/>
      <w:proofErr w:type="gramStart"/>
      <w:r>
        <w:rPr>
          <w:sz w:val="24"/>
          <w:lang w:val="en-GB"/>
        </w:rPr>
        <w:t>A.</w:t>
      </w:r>
      <w:r w:rsidR="004F1431" w:rsidRPr="008D169B">
        <w:rPr>
          <w:sz w:val="24"/>
          <w:lang w:val="en-GB"/>
        </w:rPr>
        <w:t>Levine</w:t>
      </w:r>
      <w:proofErr w:type="spellEnd"/>
      <w:proofErr w:type="gramEnd"/>
      <w:r w:rsidR="004F1431" w:rsidRPr="008D169B">
        <w:rPr>
          <w:sz w:val="24"/>
          <w:lang w:val="en-GB"/>
        </w:rPr>
        <w:t xml:space="preserve">, R. </w:t>
      </w:r>
      <w:proofErr w:type="spellStart"/>
      <w:r w:rsidR="004F1431" w:rsidRPr="008D169B">
        <w:rPr>
          <w:sz w:val="24"/>
          <w:lang w:val="en-GB"/>
        </w:rPr>
        <w:t>Sigall</w:t>
      </w:r>
      <w:proofErr w:type="spellEnd"/>
      <w:r w:rsidR="004F1431" w:rsidRPr="008D169B">
        <w:rPr>
          <w:sz w:val="24"/>
          <w:lang w:val="en-GB"/>
        </w:rPr>
        <w:t xml:space="preserve"> </w:t>
      </w:r>
      <w:proofErr w:type="spellStart"/>
      <w:r w:rsidR="004F1431" w:rsidRPr="008D169B">
        <w:rPr>
          <w:sz w:val="24"/>
          <w:lang w:val="en-GB"/>
        </w:rPr>
        <w:t>Boneh</w:t>
      </w:r>
      <w:proofErr w:type="spellEnd"/>
      <w:r w:rsidR="004F1431" w:rsidRPr="008D169B">
        <w:rPr>
          <w:sz w:val="24"/>
          <w:lang w:val="en-GB"/>
        </w:rPr>
        <w:t xml:space="preserve">, e </w:t>
      </w:r>
      <w:proofErr w:type="spellStart"/>
      <w:r w:rsidR="004F1431" w:rsidRPr="008D169B">
        <w:rPr>
          <w:sz w:val="24"/>
          <w:lang w:val="en-GB"/>
        </w:rPr>
        <w:t>E</w:t>
      </w:r>
      <w:proofErr w:type="spellEnd"/>
      <w:r w:rsidR="004F1431" w:rsidRPr="008D169B">
        <w:rPr>
          <w:sz w:val="24"/>
          <w:lang w:val="en-GB"/>
        </w:rPr>
        <w:t xml:space="preserve">. Wine, «Evolving role of diet in the pathogenesis and treatment of inflammatory bowel diseases», </w:t>
      </w:r>
      <w:r w:rsidR="004F1431" w:rsidRPr="008D169B">
        <w:rPr>
          <w:i/>
          <w:iCs/>
          <w:sz w:val="24"/>
          <w:lang w:val="en-GB"/>
        </w:rPr>
        <w:t>Gut</w:t>
      </w:r>
      <w:r w:rsidR="004F1431" w:rsidRPr="008D169B">
        <w:rPr>
          <w:sz w:val="24"/>
          <w:lang w:val="en-GB"/>
        </w:rPr>
        <w:t xml:space="preserve">, vol. 67, n. 9, </w:t>
      </w:r>
      <w:proofErr w:type="spellStart"/>
      <w:r w:rsidR="004F1431" w:rsidRPr="008D169B">
        <w:rPr>
          <w:sz w:val="24"/>
          <w:lang w:val="en-GB"/>
        </w:rPr>
        <w:t>pagg</w:t>
      </w:r>
      <w:proofErr w:type="spellEnd"/>
      <w:r w:rsidR="004F1431" w:rsidRPr="008D169B">
        <w:rPr>
          <w:sz w:val="24"/>
          <w:lang w:val="en-GB"/>
        </w:rPr>
        <w:t xml:space="preserve">. 1726–1738, set. 2018, </w:t>
      </w:r>
      <w:proofErr w:type="spellStart"/>
      <w:r w:rsidR="004F1431" w:rsidRPr="008D169B">
        <w:rPr>
          <w:sz w:val="24"/>
          <w:lang w:val="en-GB"/>
        </w:rPr>
        <w:t>doi</w:t>
      </w:r>
      <w:proofErr w:type="spellEnd"/>
      <w:r w:rsidR="004F1431" w:rsidRPr="008D169B">
        <w:rPr>
          <w:sz w:val="24"/>
          <w:lang w:val="en-GB"/>
        </w:rPr>
        <w:t>: 10.1136/gutjnl-2017-315866.</w:t>
      </w:r>
    </w:p>
    <w:p w14:paraId="4F549197" w14:textId="77777777" w:rsidR="004F1431" w:rsidRDefault="004F1431" w:rsidP="004F1431">
      <w:pPr>
        <w:pStyle w:val="Bibliografia"/>
        <w:spacing w:line="360" w:lineRule="auto"/>
        <w:ind w:left="2124"/>
        <w:rPr>
          <w:sz w:val="24"/>
          <w:lang w:val="en-GB"/>
        </w:rPr>
      </w:pPr>
    </w:p>
    <w:p w14:paraId="4D940E8F" w14:textId="77777777" w:rsidR="003C64B9" w:rsidRDefault="004F1431" w:rsidP="003C64B9">
      <w:pPr>
        <w:pStyle w:val="Bibliografia"/>
        <w:spacing w:line="360" w:lineRule="auto"/>
        <w:ind w:left="2124"/>
        <w:rPr>
          <w:sz w:val="24"/>
          <w:lang w:val="en-GB"/>
        </w:rPr>
      </w:pPr>
      <w:r w:rsidRPr="004F1431">
        <w:rPr>
          <w:sz w:val="24"/>
          <w:lang w:val="en-GB"/>
        </w:rPr>
        <w:t xml:space="preserve">M. </w:t>
      </w:r>
      <w:proofErr w:type="spellStart"/>
      <w:r w:rsidRPr="004F1431">
        <w:rPr>
          <w:sz w:val="24"/>
          <w:lang w:val="en-GB"/>
        </w:rPr>
        <w:t>Herrador</w:t>
      </w:r>
      <w:proofErr w:type="spellEnd"/>
      <w:r w:rsidRPr="004F1431">
        <w:rPr>
          <w:sz w:val="24"/>
          <w:lang w:val="en-GB"/>
        </w:rPr>
        <w:t>-López, R. Martín-</w:t>
      </w:r>
      <w:proofErr w:type="spellStart"/>
      <w:r w:rsidRPr="004F1431">
        <w:rPr>
          <w:sz w:val="24"/>
          <w:lang w:val="en-GB"/>
        </w:rPr>
        <w:t>Masot</w:t>
      </w:r>
      <w:proofErr w:type="spellEnd"/>
      <w:r w:rsidRPr="004F1431">
        <w:rPr>
          <w:sz w:val="24"/>
          <w:lang w:val="en-GB"/>
        </w:rPr>
        <w:t xml:space="preserve">, e V. M. </w:t>
      </w:r>
      <w:proofErr w:type="spellStart"/>
      <w:r w:rsidRPr="004F1431">
        <w:rPr>
          <w:sz w:val="24"/>
          <w:lang w:val="en-GB"/>
        </w:rPr>
        <w:t>Navas</w:t>
      </w:r>
      <w:proofErr w:type="spellEnd"/>
      <w:r w:rsidRPr="004F1431">
        <w:rPr>
          <w:sz w:val="24"/>
          <w:lang w:val="en-GB"/>
        </w:rPr>
        <w:t xml:space="preserve">-López, «EEN Yesterday and Today … CDED Today and Tomorrow», </w:t>
      </w:r>
      <w:r w:rsidRPr="004F1431">
        <w:rPr>
          <w:i/>
          <w:iCs/>
          <w:sz w:val="24"/>
          <w:lang w:val="en-GB"/>
        </w:rPr>
        <w:t>Nutrients</w:t>
      </w:r>
      <w:r w:rsidRPr="004F1431">
        <w:rPr>
          <w:sz w:val="24"/>
          <w:lang w:val="en-GB"/>
        </w:rPr>
        <w:t xml:space="preserve">, vol. 12, n. 12, </w:t>
      </w:r>
      <w:proofErr w:type="spellStart"/>
      <w:r w:rsidRPr="004F1431">
        <w:rPr>
          <w:sz w:val="24"/>
          <w:lang w:val="en-GB"/>
        </w:rPr>
        <w:t>pag</w:t>
      </w:r>
      <w:proofErr w:type="spellEnd"/>
      <w:r w:rsidRPr="004F1431">
        <w:rPr>
          <w:sz w:val="24"/>
          <w:lang w:val="en-GB"/>
        </w:rPr>
        <w:t xml:space="preserve">. 3793, </w:t>
      </w:r>
      <w:proofErr w:type="spellStart"/>
      <w:r w:rsidRPr="004F1431">
        <w:rPr>
          <w:sz w:val="24"/>
          <w:lang w:val="en-GB"/>
        </w:rPr>
        <w:t>dic</w:t>
      </w:r>
      <w:proofErr w:type="spellEnd"/>
      <w:r w:rsidRPr="004F1431">
        <w:rPr>
          <w:sz w:val="24"/>
          <w:lang w:val="en-GB"/>
        </w:rPr>
        <w:t xml:space="preserve">. 2020, </w:t>
      </w:r>
      <w:proofErr w:type="spellStart"/>
      <w:r w:rsidRPr="004F1431">
        <w:rPr>
          <w:sz w:val="24"/>
          <w:lang w:val="en-GB"/>
        </w:rPr>
        <w:t>doi</w:t>
      </w:r>
      <w:proofErr w:type="spellEnd"/>
      <w:r w:rsidRPr="004F1431">
        <w:rPr>
          <w:sz w:val="24"/>
          <w:lang w:val="en-GB"/>
        </w:rPr>
        <w:t>: 10.3390/nu12123793.</w:t>
      </w:r>
    </w:p>
    <w:p w14:paraId="373C5A5D" w14:textId="77777777" w:rsidR="003C64B9" w:rsidRDefault="003C64B9" w:rsidP="003C64B9">
      <w:pPr>
        <w:pStyle w:val="Bibliografia"/>
        <w:spacing w:line="360" w:lineRule="auto"/>
        <w:ind w:left="2124"/>
        <w:rPr>
          <w:sz w:val="24"/>
          <w:lang w:val="en-GB"/>
        </w:rPr>
      </w:pPr>
    </w:p>
    <w:p w14:paraId="18F7AECC" w14:textId="216385AB" w:rsidR="004F1431" w:rsidRDefault="004F1431" w:rsidP="003C64B9">
      <w:pPr>
        <w:pStyle w:val="Bibliografia"/>
        <w:spacing w:line="360" w:lineRule="auto"/>
        <w:ind w:left="2124"/>
        <w:rPr>
          <w:sz w:val="24"/>
          <w:lang w:val="en-GB"/>
        </w:rPr>
      </w:pPr>
      <w:r w:rsidRPr="008D169B">
        <w:rPr>
          <w:sz w:val="24"/>
          <w:lang w:val="en-GB"/>
        </w:rPr>
        <w:t xml:space="preserve">F. M. </w:t>
      </w:r>
      <w:proofErr w:type="spellStart"/>
      <w:r w:rsidRPr="008D169B">
        <w:rPr>
          <w:sz w:val="24"/>
          <w:lang w:val="en-GB"/>
        </w:rPr>
        <w:t>Ruemmele</w:t>
      </w:r>
      <w:proofErr w:type="spellEnd"/>
      <w:r w:rsidRPr="008D169B">
        <w:rPr>
          <w:sz w:val="24"/>
          <w:lang w:val="en-GB"/>
        </w:rPr>
        <w:t xml:space="preserve"> </w:t>
      </w:r>
      <w:r w:rsidRPr="008D169B">
        <w:rPr>
          <w:i/>
          <w:iCs/>
          <w:sz w:val="24"/>
          <w:lang w:val="en-GB"/>
        </w:rPr>
        <w:t>et al.</w:t>
      </w:r>
      <w:r w:rsidRPr="008D169B">
        <w:rPr>
          <w:sz w:val="24"/>
          <w:lang w:val="en-GB"/>
        </w:rPr>
        <w:t xml:space="preserve">, «Consensus guidelines of ECCO/ESPGHAN on the medical management of </w:t>
      </w:r>
      <w:proofErr w:type="spellStart"/>
      <w:r w:rsidRPr="008D169B">
        <w:rPr>
          <w:sz w:val="24"/>
          <w:lang w:val="en-GB"/>
        </w:rPr>
        <w:t>pediatric</w:t>
      </w:r>
      <w:proofErr w:type="spellEnd"/>
      <w:r w:rsidRPr="008D169B">
        <w:rPr>
          <w:sz w:val="24"/>
          <w:lang w:val="en-GB"/>
        </w:rPr>
        <w:t xml:space="preserve"> Crohn’s disease», </w:t>
      </w:r>
      <w:r w:rsidRPr="008D169B">
        <w:rPr>
          <w:i/>
          <w:iCs/>
          <w:sz w:val="24"/>
          <w:lang w:val="en-GB"/>
        </w:rPr>
        <w:t xml:space="preserve">J. </w:t>
      </w:r>
      <w:proofErr w:type="spellStart"/>
      <w:r w:rsidRPr="008D169B">
        <w:rPr>
          <w:i/>
          <w:iCs/>
          <w:sz w:val="24"/>
          <w:lang w:val="en-GB"/>
        </w:rPr>
        <w:t>Crohns</w:t>
      </w:r>
      <w:proofErr w:type="spellEnd"/>
      <w:r w:rsidRPr="008D169B">
        <w:rPr>
          <w:i/>
          <w:iCs/>
          <w:sz w:val="24"/>
          <w:lang w:val="en-GB"/>
        </w:rPr>
        <w:t xml:space="preserve"> Colitis</w:t>
      </w:r>
      <w:r w:rsidRPr="008D169B">
        <w:rPr>
          <w:sz w:val="24"/>
          <w:lang w:val="en-GB"/>
        </w:rPr>
        <w:t xml:space="preserve">, vol. 8, n. 10, </w:t>
      </w:r>
      <w:proofErr w:type="spellStart"/>
      <w:r w:rsidRPr="008D169B">
        <w:rPr>
          <w:sz w:val="24"/>
          <w:lang w:val="en-GB"/>
        </w:rPr>
        <w:t>pagg</w:t>
      </w:r>
      <w:proofErr w:type="spellEnd"/>
      <w:r w:rsidRPr="008D169B">
        <w:rPr>
          <w:sz w:val="24"/>
          <w:lang w:val="en-GB"/>
        </w:rPr>
        <w:t xml:space="preserve">. 1179–1207, </w:t>
      </w:r>
      <w:proofErr w:type="spellStart"/>
      <w:r w:rsidRPr="008D169B">
        <w:rPr>
          <w:sz w:val="24"/>
          <w:lang w:val="en-GB"/>
        </w:rPr>
        <w:t>ott</w:t>
      </w:r>
      <w:proofErr w:type="spellEnd"/>
      <w:r w:rsidRPr="008D169B">
        <w:rPr>
          <w:sz w:val="24"/>
          <w:lang w:val="en-GB"/>
        </w:rPr>
        <w:t xml:space="preserve">. 2014, </w:t>
      </w:r>
      <w:proofErr w:type="spellStart"/>
      <w:r w:rsidRPr="008D169B">
        <w:rPr>
          <w:sz w:val="24"/>
          <w:lang w:val="en-GB"/>
        </w:rPr>
        <w:t>doi</w:t>
      </w:r>
      <w:proofErr w:type="spellEnd"/>
      <w:r w:rsidRPr="008D169B">
        <w:rPr>
          <w:sz w:val="24"/>
          <w:lang w:val="en-GB"/>
        </w:rPr>
        <w:t>: 10.1016/j.crohns.2014.04.005.</w:t>
      </w:r>
    </w:p>
    <w:p w14:paraId="020BA979" w14:textId="77777777" w:rsidR="003C64B9" w:rsidRPr="003C64B9" w:rsidRDefault="003C64B9" w:rsidP="003C64B9">
      <w:pPr>
        <w:rPr>
          <w:lang w:val="en-GB"/>
        </w:rPr>
      </w:pPr>
    </w:p>
    <w:p w14:paraId="6428138E" w14:textId="2301E799" w:rsidR="003C64B9" w:rsidRDefault="004F1431" w:rsidP="007A64F7">
      <w:pPr>
        <w:pStyle w:val="Bibliografia"/>
        <w:spacing w:line="360" w:lineRule="auto"/>
        <w:ind w:left="2124"/>
        <w:rPr>
          <w:sz w:val="24"/>
          <w:lang w:val="en-GB"/>
        </w:rPr>
      </w:pPr>
      <w:r w:rsidRPr="008D169B">
        <w:rPr>
          <w:sz w:val="24"/>
          <w:lang w:val="en-GB"/>
        </w:rPr>
        <w:t xml:space="preserve">D. Lee </w:t>
      </w:r>
      <w:r w:rsidRPr="008D169B">
        <w:rPr>
          <w:i/>
          <w:iCs/>
          <w:sz w:val="24"/>
          <w:lang w:val="en-GB"/>
        </w:rPr>
        <w:t>et al.</w:t>
      </w:r>
      <w:r w:rsidRPr="008D169B">
        <w:rPr>
          <w:sz w:val="24"/>
          <w:lang w:val="en-GB"/>
        </w:rPr>
        <w:t xml:space="preserve">, «Diet in the Pathogenesis and Treatment of Inflammatory Bowel Diseases», </w:t>
      </w:r>
      <w:r w:rsidRPr="008D169B">
        <w:rPr>
          <w:i/>
          <w:iCs/>
          <w:sz w:val="24"/>
          <w:lang w:val="en-GB"/>
        </w:rPr>
        <w:t>Gastroenterology</w:t>
      </w:r>
      <w:r w:rsidRPr="008D169B">
        <w:rPr>
          <w:sz w:val="24"/>
          <w:lang w:val="en-GB"/>
        </w:rPr>
        <w:t xml:space="preserve">, vol. 148, n. 6, </w:t>
      </w:r>
      <w:proofErr w:type="spellStart"/>
      <w:r w:rsidRPr="008D169B">
        <w:rPr>
          <w:sz w:val="24"/>
          <w:lang w:val="en-GB"/>
        </w:rPr>
        <w:t>pagg</w:t>
      </w:r>
      <w:proofErr w:type="spellEnd"/>
      <w:r w:rsidRPr="008D169B">
        <w:rPr>
          <w:sz w:val="24"/>
          <w:lang w:val="en-GB"/>
        </w:rPr>
        <w:t xml:space="preserve">. 1087–1106, mag. 2015, </w:t>
      </w:r>
      <w:proofErr w:type="spellStart"/>
      <w:r w:rsidRPr="008D169B">
        <w:rPr>
          <w:sz w:val="24"/>
          <w:lang w:val="en-GB"/>
        </w:rPr>
        <w:t>doi</w:t>
      </w:r>
      <w:proofErr w:type="spellEnd"/>
      <w:r w:rsidRPr="008D169B">
        <w:rPr>
          <w:sz w:val="24"/>
          <w:lang w:val="en-GB"/>
        </w:rPr>
        <w:t>: 10.1053/j.gastro.2015.01.007.</w:t>
      </w:r>
    </w:p>
    <w:p w14:paraId="4067F607" w14:textId="73E99C8F" w:rsidR="004F1431" w:rsidRDefault="004F1431" w:rsidP="003C64B9">
      <w:pPr>
        <w:pStyle w:val="Bibliografia"/>
        <w:spacing w:line="360" w:lineRule="auto"/>
        <w:ind w:left="2124"/>
        <w:rPr>
          <w:sz w:val="24"/>
          <w:lang w:val="en-GB"/>
        </w:rPr>
      </w:pPr>
      <w:r w:rsidRPr="008D169B">
        <w:rPr>
          <w:sz w:val="24"/>
          <w:lang w:val="en-GB"/>
        </w:rPr>
        <w:lastRenderedPageBreak/>
        <w:t xml:space="preserve">J. J. Ashton, J. Gavin, e R. M. Beattie, «Exclusive enteral nutrition in Crohn’s disease: Evidence and practicalities», </w:t>
      </w:r>
      <w:r w:rsidRPr="008D169B">
        <w:rPr>
          <w:i/>
          <w:iCs/>
          <w:sz w:val="24"/>
          <w:lang w:val="en-GB"/>
        </w:rPr>
        <w:t xml:space="preserve">Clin. </w:t>
      </w:r>
      <w:proofErr w:type="spellStart"/>
      <w:r w:rsidRPr="008D169B">
        <w:rPr>
          <w:i/>
          <w:iCs/>
          <w:sz w:val="24"/>
          <w:lang w:val="en-GB"/>
        </w:rPr>
        <w:t>Nutr</w:t>
      </w:r>
      <w:proofErr w:type="spellEnd"/>
      <w:r w:rsidRPr="008D169B">
        <w:rPr>
          <w:i/>
          <w:iCs/>
          <w:sz w:val="24"/>
          <w:lang w:val="en-GB"/>
        </w:rPr>
        <w:t>.</w:t>
      </w:r>
      <w:r w:rsidRPr="008D169B">
        <w:rPr>
          <w:sz w:val="24"/>
          <w:lang w:val="en-GB"/>
        </w:rPr>
        <w:t xml:space="preserve">, vol. 38, n. 1, </w:t>
      </w:r>
      <w:proofErr w:type="spellStart"/>
      <w:r w:rsidRPr="008D169B">
        <w:rPr>
          <w:sz w:val="24"/>
          <w:lang w:val="en-GB"/>
        </w:rPr>
        <w:t>pagg</w:t>
      </w:r>
      <w:proofErr w:type="spellEnd"/>
      <w:r w:rsidRPr="008D169B">
        <w:rPr>
          <w:sz w:val="24"/>
          <w:lang w:val="en-GB"/>
        </w:rPr>
        <w:t xml:space="preserve">. 80–89, </w:t>
      </w:r>
      <w:proofErr w:type="spellStart"/>
      <w:r w:rsidRPr="008D169B">
        <w:rPr>
          <w:sz w:val="24"/>
          <w:lang w:val="en-GB"/>
        </w:rPr>
        <w:t>feb.</w:t>
      </w:r>
      <w:proofErr w:type="spellEnd"/>
      <w:r w:rsidRPr="008D169B">
        <w:rPr>
          <w:sz w:val="24"/>
          <w:lang w:val="en-GB"/>
        </w:rPr>
        <w:t xml:space="preserve"> 2019, </w:t>
      </w:r>
      <w:proofErr w:type="spellStart"/>
      <w:r w:rsidRPr="008D169B">
        <w:rPr>
          <w:sz w:val="24"/>
          <w:lang w:val="en-GB"/>
        </w:rPr>
        <w:t>doi</w:t>
      </w:r>
      <w:proofErr w:type="spellEnd"/>
      <w:r w:rsidRPr="008D169B">
        <w:rPr>
          <w:sz w:val="24"/>
          <w:lang w:val="en-GB"/>
        </w:rPr>
        <w:t>: 10.1016/j.clnu.2018.01.020.</w:t>
      </w:r>
    </w:p>
    <w:p w14:paraId="5D8695B0" w14:textId="0F29668B" w:rsidR="003C64B9" w:rsidRDefault="003C64B9" w:rsidP="004F1431">
      <w:pPr>
        <w:rPr>
          <w:sz w:val="24"/>
          <w:lang w:val="en-GB"/>
        </w:rPr>
      </w:pPr>
    </w:p>
    <w:p w14:paraId="43E63527" w14:textId="73B4F96B" w:rsidR="007A64F7" w:rsidRDefault="003C64B9" w:rsidP="007A64F7">
      <w:pPr>
        <w:pStyle w:val="Bibliografia"/>
        <w:spacing w:line="360" w:lineRule="auto"/>
        <w:ind w:left="2124"/>
        <w:rPr>
          <w:sz w:val="24"/>
          <w:lang w:val="en-GB"/>
        </w:rPr>
      </w:pPr>
      <w:r w:rsidRPr="008D169B">
        <w:rPr>
          <w:sz w:val="24"/>
          <w:lang w:val="en-GB"/>
        </w:rPr>
        <w:t xml:space="preserve">R. </w:t>
      </w:r>
      <w:proofErr w:type="spellStart"/>
      <w:r w:rsidRPr="008D169B">
        <w:rPr>
          <w:sz w:val="24"/>
          <w:lang w:val="en-GB"/>
        </w:rPr>
        <w:t>Sigall</w:t>
      </w:r>
      <w:proofErr w:type="spellEnd"/>
      <w:r w:rsidRPr="008D169B">
        <w:rPr>
          <w:sz w:val="24"/>
          <w:lang w:val="en-GB"/>
        </w:rPr>
        <w:t xml:space="preserve"> </w:t>
      </w:r>
      <w:proofErr w:type="spellStart"/>
      <w:r w:rsidRPr="008D169B">
        <w:rPr>
          <w:sz w:val="24"/>
          <w:lang w:val="en-GB"/>
        </w:rPr>
        <w:t>Boneh</w:t>
      </w:r>
      <w:proofErr w:type="spellEnd"/>
      <w:r w:rsidRPr="008D169B">
        <w:rPr>
          <w:sz w:val="24"/>
          <w:lang w:val="en-GB"/>
        </w:rPr>
        <w:t xml:space="preserve"> </w:t>
      </w:r>
      <w:r w:rsidRPr="008D169B">
        <w:rPr>
          <w:i/>
          <w:iCs/>
          <w:sz w:val="24"/>
          <w:lang w:val="en-GB"/>
        </w:rPr>
        <w:t>et al.</w:t>
      </w:r>
      <w:r w:rsidRPr="008D169B">
        <w:rPr>
          <w:sz w:val="24"/>
          <w:lang w:val="en-GB"/>
        </w:rPr>
        <w:t xml:space="preserve">, «Dietary Therapy with the Crohn’s Disease Exclusion Diet is a Successful Strategy for Induction of Remission in Children and Adults Failing Biological Therapy», </w:t>
      </w:r>
      <w:r w:rsidRPr="008D169B">
        <w:rPr>
          <w:i/>
          <w:iCs/>
          <w:sz w:val="24"/>
          <w:lang w:val="en-GB"/>
        </w:rPr>
        <w:t xml:space="preserve">J. </w:t>
      </w:r>
      <w:proofErr w:type="spellStart"/>
      <w:r w:rsidRPr="008D169B">
        <w:rPr>
          <w:i/>
          <w:iCs/>
          <w:sz w:val="24"/>
          <w:lang w:val="en-GB"/>
        </w:rPr>
        <w:t>Crohns</w:t>
      </w:r>
      <w:proofErr w:type="spellEnd"/>
      <w:r w:rsidRPr="008D169B">
        <w:rPr>
          <w:i/>
          <w:iCs/>
          <w:sz w:val="24"/>
          <w:lang w:val="en-GB"/>
        </w:rPr>
        <w:t xml:space="preserve"> Colitis</w:t>
      </w:r>
      <w:r w:rsidRPr="008D169B">
        <w:rPr>
          <w:sz w:val="24"/>
          <w:lang w:val="en-GB"/>
        </w:rPr>
        <w:t xml:space="preserve">, vol. 11, n. 10, </w:t>
      </w:r>
      <w:proofErr w:type="spellStart"/>
      <w:r w:rsidRPr="008D169B">
        <w:rPr>
          <w:sz w:val="24"/>
          <w:lang w:val="en-GB"/>
        </w:rPr>
        <w:t>pagg</w:t>
      </w:r>
      <w:proofErr w:type="spellEnd"/>
      <w:r w:rsidRPr="008D169B">
        <w:rPr>
          <w:sz w:val="24"/>
          <w:lang w:val="en-GB"/>
        </w:rPr>
        <w:t xml:space="preserve">. 1205–1212, </w:t>
      </w:r>
      <w:proofErr w:type="spellStart"/>
      <w:r w:rsidRPr="008D169B">
        <w:rPr>
          <w:sz w:val="24"/>
          <w:lang w:val="en-GB"/>
        </w:rPr>
        <w:t>ott</w:t>
      </w:r>
      <w:proofErr w:type="spellEnd"/>
      <w:r w:rsidRPr="008D169B">
        <w:rPr>
          <w:sz w:val="24"/>
          <w:lang w:val="en-GB"/>
        </w:rPr>
        <w:t xml:space="preserve">. 2017, </w:t>
      </w:r>
      <w:proofErr w:type="spellStart"/>
      <w:r w:rsidRPr="008D169B">
        <w:rPr>
          <w:sz w:val="24"/>
          <w:lang w:val="en-GB"/>
        </w:rPr>
        <w:t>doi</w:t>
      </w:r>
      <w:proofErr w:type="spellEnd"/>
      <w:r w:rsidRPr="008D169B">
        <w:rPr>
          <w:sz w:val="24"/>
          <w:lang w:val="en-GB"/>
        </w:rPr>
        <w:t>: 10.1093/</w:t>
      </w:r>
      <w:proofErr w:type="spellStart"/>
      <w:r w:rsidRPr="008D169B">
        <w:rPr>
          <w:sz w:val="24"/>
          <w:lang w:val="en-GB"/>
        </w:rPr>
        <w:t>ecco-jcc</w:t>
      </w:r>
      <w:proofErr w:type="spellEnd"/>
      <w:r w:rsidRPr="008D169B">
        <w:rPr>
          <w:sz w:val="24"/>
          <w:lang w:val="en-GB"/>
        </w:rPr>
        <w:t>/jjx071.</w:t>
      </w:r>
    </w:p>
    <w:p w14:paraId="00D182B9" w14:textId="77777777" w:rsidR="007A64F7" w:rsidRPr="007A64F7" w:rsidRDefault="007A64F7" w:rsidP="007A64F7">
      <w:pPr>
        <w:rPr>
          <w:lang w:val="en-GB"/>
        </w:rPr>
      </w:pPr>
    </w:p>
    <w:p w14:paraId="7E653798" w14:textId="0A22CA3B" w:rsidR="003C64B9" w:rsidRDefault="007A64F7" w:rsidP="007A64F7">
      <w:pPr>
        <w:pStyle w:val="Bibliografia"/>
        <w:spacing w:line="360" w:lineRule="auto"/>
        <w:ind w:left="2124"/>
        <w:rPr>
          <w:sz w:val="24"/>
          <w:lang w:val="en-GB"/>
        </w:rPr>
      </w:pPr>
      <w:r>
        <w:rPr>
          <w:sz w:val="24"/>
          <w:lang w:val="en-GB"/>
        </w:rPr>
        <w:t xml:space="preserve">A. </w:t>
      </w:r>
      <w:r w:rsidR="003C64B9" w:rsidRPr="008D169B">
        <w:rPr>
          <w:sz w:val="24"/>
          <w:lang w:val="en-GB"/>
        </w:rPr>
        <w:t xml:space="preserve">Levine </w:t>
      </w:r>
      <w:r w:rsidR="003C64B9" w:rsidRPr="008D169B">
        <w:rPr>
          <w:i/>
          <w:iCs/>
          <w:sz w:val="24"/>
          <w:lang w:val="en-GB"/>
        </w:rPr>
        <w:t>et al.</w:t>
      </w:r>
      <w:r w:rsidR="003C64B9" w:rsidRPr="008D169B">
        <w:rPr>
          <w:sz w:val="24"/>
          <w:lang w:val="en-GB"/>
        </w:rPr>
        <w:t xml:space="preserve">, «Crohn’s Disease Exclusion Diet Plus Partial Enteral Nutrition Induces Sustained Remission in a Randomized Controlled Trial», </w:t>
      </w:r>
      <w:r w:rsidR="003C64B9" w:rsidRPr="008D169B">
        <w:rPr>
          <w:i/>
          <w:iCs/>
          <w:sz w:val="24"/>
          <w:lang w:val="en-GB"/>
        </w:rPr>
        <w:t>Gastroenterology</w:t>
      </w:r>
      <w:r w:rsidR="003C64B9" w:rsidRPr="008D169B">
        <w:rPr>
          <w:sz w:val="24"/>
          <w:lang w:val="en-GB"/>
        </w:rPr>
        <w:t xml:space="preserve">, vol. 157, n. 2, </w:t>
      </w:r>
      <w:proofErr w:type="spellStart"/>
      <w:r w:rsidR="003C64B9" w:rsidRPr="008D169B">
        <w:rPr>
          <w:sz w:val="24"/>
          <w:lang w:val="en-GB"/>
        </w:rPr>
        <w:t>pagg</w:t>
      </w:r>
      <w:proofErr w:type="spellEnd"/>
      <w:r w:rsidR="003C64B9" w:rsidRPr="008D169B">
        <w:rPr>
          <w:sz w:val="24"/>
          <w:lang w:val="en-GB"/>
        </w:rPr>
        <w:t xml:space="preserve">. 440-450.e8, ago. 2019, </w:t>
      </w:r>
      <w:proofErr w:type="spellStart"/>
      <w:r w:rsidR="003C64B9" w:rsidRPr="008D169B">
        <w:rPr>
          <w:sz w:val="24"/>
          <w:lang w:val="en-GB"/>
        </w:rPr>
        <w:t>doi</w:t>
      </w:r>
      <w:proofErr w:type="spellEnd"/>
      <w:r w:rsidR="003C64B9" w:rsidRPr="008D169B">
        <w:rPr>
          <w:sz w:val="24"/>
          <w:lang w:val="en-GB"/>
        </w:rPr>
        <w:t>: 10.1053/j.gastro.2019.04.021.</w:t>
      </w:r>
    </w:p>
    <w:p w14:paraId="4978CB77" w14:textId="77777777" w:rsidR="003C64B9" w:rsidRDefault="003C64B9" w:rsidP="003C64B9">
      <w:pPr>
        <w:pStyle w:val="Bibliografia"/>
        <w:spacing w:line="360" w:lineRule="auto"/>
        <w:ind w:left="2124"/>
        <w:rPr>
          <w:sz w:val="24"/>
          <w:lang w:val="en-GB"/>
        </w:rPr>
      </w:pPr>
    </w:p>
    <w:p w14:paraId="1F729DC5" w14:textId="77777777" w:rsidR="003C64B9" w:rsidRDefault="003C64B9" w:rsidP="003C64B9">
      <w:pPr>
        <w:pStyle w:val="Bibliografia"/>
        <w:spacing w:line="360" w:lineRule="auto"/>
        <w:ind w:left="2124"/>
        <w:rPr>
          <w:sz w:val="24"/>
          <w:lang w:val="en-GB"/>
        </w:rPr>
      </w:pPr>
      <w:r w:rsidRPr="003C64B9">
        <w:rPr>
          <w:sz w:val="24"/>
          <w:lang w:val="en-GB"/>
        </w:rPr>
        <w:t xml:space="preserve">R. </w:t>
      </w:r>
      <w:proofErr w:type="spellStart"/>
      <w:r w:rsidRPr="003C64B9">
        <w:rPr>
          <w:sz w:val="24"/>
          <w:lang w:val="en-GB"/>
        </w:rPr>
        <w:t>Sigall-Boneh</w:t>
      </w:r>
      <w:proofErr w:type="spellEnd"/>
      <w:r w:rsidRPr="003C64B9">
        <w:rPr>
          <w:sz w:val="24"/>
          <w:lang w:val="en-GB"/>
        </w:rPr>
        <w:t>, T. Pfeffer-</w:t>
      </w:r>
      <w:proofErr w:type="spellStart"/>
      <w:r w:rsidRPr="003C64B9">
        <w:rPr>
          <w:sz w:val="24"/>
          <w:lang w:val="en-GB"/>
        </w:rPr>
        <w:t>Gik</w:t>
      </w:r>
      <w:proofErr w:type="spellEnd"/>
      <w:r w:rsidRPr="003C64B9">
        <w:rPr>
          <w:sz w:val="24"/>
          <w:lang w:val="en-GB"/>
        </w:rPr>
        <w:t xml:space="preserve">, I. Segal, T. </w:t>
      </w:r>
      <w:proofErr w:type="spellStart"/>
      <w:r w:rsidRPr="003C64B9">
        <w:rPr>
          <w:sz w:val="24"/>
          <w:lang w:val="en-GB"/>
        </w:rPr>
        <w:t>Zangen</w:t>
      </w:r>
      <w:proofErr w:type="spellEnd"/>
      <w:r w:rsidRPr="003C64B9">
        <w:rPr>
          <w:sz w:val="24"/>
          <w:lang w:val="en-GB"/>
        </w:rPr>
        <w:t xml:space="preserve">, M. Boaz, e A. Levine, «Partial Enteral Nutrition with a </w:t>
      </w:r>
      <w:proofErr w:type="spellStart"/>
      <w:r w:rsidRPr="003C64B9">
        <w:rPr>
          <w:sz w:val="24"/>
          <w:lang w:val="en-GB"/>
        </w:rPr>
        <w:t>Crohnʼs</w:t>
      </w:r>
      <w:proofErr w:type="spellEnd"/>
      <w:r w:rsidRPr="003C64B9">
        <w:rPr>
          <w:sz w:val="24"/>
          <w:lang w:val="en-GB"/>
        </w:rPr>
        <w:t xml:space="preserve"> Disease Exclusion Diet Is Effective for Induction of Remission in Children and Young Adults with </w:t>
      </w:r>
      <w:proofErr w:type="spellStart"/>
      <w:r w:rsidRPr="003C64B9">
        <w:rPr>
          <w:sz w:val="24"/>
          <w:lang w:val="en-GB"/>
        </w:rPr>
        <w:t>Crohnʼs</w:t>
      </w:r>
      <w:proofErr w:type="spellEnd"/>
      <w:r w:rsidRPr="003C64B9">
        <w:rPr>
          <w:sz w:val="24"/>
          <w:lang w:val="en-GB"/>
        </w:rPr>
        <w:t xml:space="preserve"> Disease</w:t>
      </w:r>
      <w:proofErr w:type="gramStart"/>
      <w:r w:rsidRPr="003C64B9">
        <w:rPr>
          <w:sz w:val="24"/>
          <w:lang w:val="en-GB"/>
        </w:rPr>
        <w:t>»:,</w:t>
      </w:r>
      <w:proofErr w:type="gramEnd"/>
      <w:r w:rsidRPr="003C64B9">
        <w:rPr>
          <w:sz w:val="24"/>
          <w:lang w:val="en-GB"/>
        </w:rPr>
        <w:t xml:space="preserve"> </w:t>
      </w:r>
      <w:proofErr w:type="spellStart"/>
      <w:r w:rsidRPr="003C64B9">
        <w:rPr>
          <w:i/>
          <w:iCs/>
          <w:sz w:val="24"/>
          <w:lang w:val="en-GB"/>
        </w:rPr>
        <w:t>Inflamm</w:t>
      </w:r>
      <w:proofErr w:type="spellEnd"/>
      <w:r w:rsidRPr="003C64B9">
        <w:rPr>
          <w:i/>
          <w:iCs/>
          <w:sz w:val="24"/>
          <w:lang w:val="en-GB"/>
        </w:rPr>
        <w:t>. Bowel Dis.</w:t>
      </w:r>
      <w:r w:rsidRPr="003C64B9">
        <w:rPr>
          <w:sz w:val="24"/>
          <w:lang w:val="en-GB"/>
        </w:rPr>
        <w:t xml:space="preserve">, vol. 20, n. 8, </w:t>
      </w:r>
      <w:proofErr w:type="spellStart"/>
      <w:r w:rsidRPr="003C64B9">
        <w:rPr>
          <w:sz w:val="24"/>
          <w:lang w:val="en-GB"/>
        </w:rPr>
        <w:t>pagg</w:t>
      </w:r>
      <w:proofErr w:type="spellEnd"/>
      <w:r w:rsidRPr="003C64B9">
        <w:rPr>
          <w:sz w:val="24"/>
          <w:lang w:val="en-GB"/>
        </w:rPr>
        <w:t xml:space="preserve">. 1353–1360, ago. 2014, </w:t>
      </w:r>
      <w:proofErr w:type="spellStart"/>
      <w:r w:rsidRPr="003C64B9">
        <w:rPr>
          <w:sz w:val="24"/>
          <w:lang w:val="en-GB"/>
        </w:rPr>
        <w:t>doi</w:t>
      </w:r>
      <w:proofErr w:type="spellEnd"/>
      <w:r w:rsidRPr="003C64B9">
        <w:rPr>
          <w:sz w:val="24"/>
          <w:lang w:val="en-GB"/>
        </w:rPr>
        <w:t>: 10.1097/MIB.0000000000000110.</w:t>
      </w:r>
    </w:p>
    <w:p w14:paraId="320EB728" w14:textId="77777777" w:rsidR="003C64B9" w:rsidRDefault="003C64B9" w:rsidP="003C64B9">
      <w:pPr>
        <w:pStyle w:val="Bibliografia"/>
        <w:spacing w:line="360" w:lineRule="auto"/>
        <w:ind w:left="2124"/>
        <w:rPr>
          <w:sz w:val="24"/>
          <w:lang w:val="en-GB"/>
        </w:rPr>
      </w:pPr>
    </w:p>
    <w:p w14:paraId="46D41D66" w14:textId="77777777" w:rsidR="003C64B9" w:rsidRDefault="003C64B9" w:rsidP="003C64B9">
      <w:pPr>
        <w:pStyle w:val="Bibliografia"/>
        <w:spacing w:line="360" w:lineRule="auto"/>
        <w:ind w:left="2124"/>
        <w:rPr>
          <w:sz w:val="24"/>
          <w:lang w:val="en-GB"/>
        </w:rPr>
      </w:pPr>
      <w:r w:rsidRPr="008D169B">
        <w:rPr>
          <w:sz w:val="24"/>
          <w:lang w:val="en-GB"/>
        </w:rPr>
        <w:t xml:space="preserve">H. </w:t>
      </w:r>
      <w:proofErr w:type="spellStart"/>
      <w:r w:rsidRPr="008D169B">
        <w:rPr>
          <w:sz w:val="24"/>
          <w:lang w:val="en-GB"/>
        </w:rPr>
        <w:t>Yanai</w:t>
      </w:r>
      <w:proofErr w:type="spellEnd"/>
      <w:r w:rsidRPr="008D169B">
        <w:rPr>
          <w:sz w:val="24"/>
          <w:lang w:val="en-GB"/>
        </w:rPr>
        <w:t xml:space="preserve"> </w:t>
      </w:r>
      <w:r w:rsidRPr="008D169B">
        <w:rPr>
          <w:i/>
          <w:iCs/>
          <w:sz w:val="24"/>
          <w:lang w:val="en-GB"/>
        </w:rPr>
        <w:t>et al.</w:t>
      </w:r>
      <w:r w:rsidRPr="008D169B">
        <w:rPr>
          <w:sz w:val="24"/>
          <w:lang w:val="en-GB"/>
        </w:rPr>
        <w:t xml:space="preserve">, «The Crohn’s disease exclusion diet for induction and maintenance of remission in adults with mild-to-moderate Crohn’s disease (CDED-AD): an open-label, pilot, randomised trial», </w:t>
      </w:r>
      <w:r w:rsidRPr="008D169B">
        <w:rPr>
          <w:i/>
          <w:iCs/>
          <w:sz w:val="24"/>
          <w:lang w:val="en-GB"/>
        </w:rPr>
        <w:t>Lancet Gastroenterol. Hepatol.</w:t>
      </w:r>
      <w:r w:rsidRPr="008D169B">
        <w:rPr>
          <w:sz w:val="24"/>
          <w:lang w:val="en-GB"/>
        </w:rPr>
        <w:t xml:space="preserve">, vol. 7, n. 1, </w:t>
      </w:r>
      <w:proofErr w:type="spellStart"/>
      <w:r w:rsidRPr="008D169B">
        <w:rPr>
          <w:sz w:val="24"/>
          <w:lang w:val="en-GB"/>
        </w:rPr>
        <w:t>pagg</w:t>
      </w:r>
      <w:proofErr w:type="spellEnd"/>
      <w:r w:rsidRPr="008D169B">
        <w:rPr>
          <w:sz w:val="24"/>
          <w:lang w:val="en-GB"/>
        </w:rPr>
        <w:t xml:space="preserve">. 49–59, gen. 2022, </w:t>
      </w:r>
      <w:proofErr w:type="spellStart"/>
      <w:r w:rsidRPr="008D169B">
        <w:rPr>
          <w:sz w:val="24"/>
          <w:lang w:val="en-GB"/>
        </w:rPr>
        <w:t>doi</w:t>
      </w:r>
      <w:proofErr w:type="spellEnd"/>
      <w:r w:rsidRPr="008D169B">
        <w:rPr>
          <w:sz w:val="24"/>
          <w:lang w:val="en-GB"/>
        </w:rPr>
        <w:t>: 10.1016/S2468-1253(21)00299-5.</w:t>
      </w:r>
    </w:p>
    <w:p w14:paraId="78C394BE" w14:textId="77777777" w:rsidR="003C64B9" w:rsidRDefault="003C64B9" w:rsidP="003C64B9">
      <w:pPr>
        <w:pStyle w:val="Bibliografia"/>
        <w:spacing w:line="360" w:lineRule="auto"/>
        <w:ind w:left="2124"/>
        <w:rPr>
          <w:sz w:val="24"/>
          <w:lang w:val="en-GB"/>
        </w:rPr>
      </w:pPr>
    </w:p>
    <w:p w14:paraId="2140752F" w14:textId="5278A0F4" w:rsidR="003C64B9" w:rsidRPr="003C64B9" w:rsidRDefault="003C64B9" w:rsidP="003C64B9">
      <w:pPr>
        <w:pStyle w:val="Bibliografia"/>
        <w:spacing w:line="360" w:lineRule="auto"/>
        <w:ind w:left="2124"/>
        <w:rPr>
          <w:sz w:val="24"/>
          <w:lang w:val="en-GB"/>
        </w:rPr>
      </w:pPr>
      <w:r w:rsidRPr="008D169B">
        <w:rPr>
          <w:sz w:val="24"/>
          <w:lang w:val="en-GB"/>
        </w:rPr>
        <w:t>«European Crohn´s and Colitis Organisation - ECCO - Diet in the Treatment Paradigm of Crohn’s Disease: New Evidence, New Strategies». https://www.ecco-ibd.eu/publications/ecco-news/item/diet-in-the-treatment-paradigm-of-crohn-s-disease-new-evidence-new-strategies.html</w:t>
      </w:r>
    </w:p>
    <w:p w14:paraId="359A5F22" w14:textId="77777777" w:rsidR="004F1431" w:rsidRPr="004F1431" w:rsidRDefault="004F1431" w:rsidP="004F1431">
      <w:pPr>
        <w:rPr>
          <w:lang w:val="en-GB"/>
        </w:rPr>
      </w:pPr>
    </w:p>
    <w:p w14:paraId="29F07F48" w14:textId="77777777" w:rsidR="004F1431" w:rsidRPr="004F1431" w:rsidRDefault="004F1431" w:rsidP="004F1431">
      <w:pPr>
        <w:rPr>
          <w:lang w:val="en-GB"/>
        </w:rPr>
      </w:pPr>
    </w:p>
    <w:sectPr w:rsidR="004F1431" w:rsidRPr="004F1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2163"/>
    <w:multiLevelType w:val="hybridMultilevel"/>
    <w:tmpl w:val="EE5C0162"/>
    <w:lvl w:ilvl="0" w:tplc="99667136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F7919C6"/>
    <w:multiLevelType w:val="hybridMultilevel"/>
    <w:tmpl w:val="BD227962"/>
    <w:lvl w:ilvl="0" w:tplc="99667136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1D91520"/>
    <w:multiLevelType w:val="hybridMultilevel"/>
    <w:tmpl w:val="4FE2EDF8"/>
    <w:lvl w:ilvl="0" w:tplc="99667136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225104D"/>
    <w:multiLevelType w:val="hybridMultilevel"/>
    <w:tmpl w:val="6E3A377A"/>
    <w:lvl w:ilvl="0" w:tplc="9924739A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397053090">
    <w:abstractNumId w:val="3"/>
  </w:num>
  <w:num w:numId="2" w16cid:durableId="1338003436">
    <w:abstractNumId w:val="1"/>
  </w:num>
  <w:num w:numId="3" w16cid:durableId="201479223">
    <w:abstractNumId w:val="0"/>
  </w:num>
  <w:num w:numId="4" w16cid:durableId="1109351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31"/>
    <w:rsid w:val="0011358D"/>
    <w:rsid w:val="003C64B9"/>
    <w:rsid w:val="004F1431"/>
    <w:rsid w:val="007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A0E0"/>
  <w15:chartTrackingRefBased/>
  <w15:docId w15:val="{4C00346B-FF0D-41CE-B92D-A2892E2D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Bibliografia">
    <w:name w:val="Bibliography"/>
    <w:basedOn w:val="Normale"/>
    <w:next w:val="Normale"/>
    <w:uiPriority w:val="37"/>
    <w:unhideWhenUsed/>
    <w:rsid w:val="004F1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C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Bari</dc:creator>
  <cp:keywords/>
  <dc:description/>
  <cp:lastModifiedBy>Gabriella Di Bari</cp:lastModifiedBy>
  <cp:revision>2</cp:revision>
  <dcterms:created xsi:type="dcterms:W3CDTF">2022-11-30T08:36:00Z</dcterms:created>
  <dcterms:modified xsi:type="dcterms:W3CDTF">2022-11-30T08:36:00Z</dcterms:modified>
</cp:coreProperties>
</file>